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16A2" w14:textId="71C97A6E" w:rsidR="005247B5" w:rsidRPr="005247B5" w:rsidRDefault="005247B5" w:rsidP="005247B5">
      <w:pPr>
        <w:suppressAutoHyphens/>
        <w:spacing w:after="0" w:line="240" w:lineRule="auto"/>
        <w:jc w:val="right"/>
        <w:rPr>
          <w:rFonts w:asciiTheme="minorHAnsi" w:eastAsia="Times New Roman" w:hAnsiTheme="minorHAnsi" w:cstheme="minorHAnsi"/>
          <w:b/>
          <w:lang w:eastAsia="zh-CN"/>
        </w:rPr>
      </w:pPr>
      <w:r w:rsidRPr="005247B5">
        <w:rPr>
          <w:rFonts w:asciiTheme="minorHAnsi" w:eastAsia="Times New Roman" w:hAnsiTheme="minorHAnsi" w:cstheme="minorHAnsi"/>
          <w:b/>
          <w:lang w:eastAsia="zh-CN"/>
        </w:rPr>
        <w:t xml:space="preserve">Item </w:t>
      </w:r>
      <w:r w:rsidR="00DB168B">
        <w:rPr>
          <w:rFonts w:asciiTheme="minorHAnsi" w:eastAsia="Times New Roman" w:hAnsiTheme="minorHAnsi" w:cstheme="minorHAnsi"/>
          <w:b/>
          <w:lang w:eastAsia="zh-CN"/>
        </w:rPr>
        <w:t>10</w:t>
      </w:r>
      <w:r w:rsidRPr="005247B5">
        <w:rPr>
          <w:rFonts w:asciiTheme="minorHAnsi" w:eastAsia="Times New Roman" w:hAnsiTheme="minorHAnsi" w:cstheme="minorHAnsi"/>
          <w:b/>
          <w:lang w:eastAsia="zh-CN"/>
        </w:rPr>
        <w:t xml:space="preserve"> </w:t>
      </w:r>
      <w:r w:rsidR="00DB168B">
        <w:rPr>
          <w:rFonts w:asciiTheme="minorHAnsi" w:eastAsia="Times New Roman" w:hAnsiTheme="minorHAnsi" w:cstheme="minorHAnsi"/>
          <w:b/>
          <w:lang w:eastAsia="zh-CN"/>
        </w:rPr>
        <w:t>c</w:t>
      </w:r>
      <w:r w:rsidRPr="005247B5">
        <w:rPr>
          <w:rFonts w:asciiTheme="minorHAnsi" w:eastAsia="Times New Roman" w:hAnsiTheme="minorHAnsi" w:cstheme="minorHAnsi"/>
          <w:b/>
          <w:lang w:eastAsia="zh-CN"/>
        </w:rPr>
        <w:t>)</w:t>
      </w:r>
    </w:p>
    <w:p w14:paraId="3574499C" w14:textId="364A1003"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3D47AB63"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186D494" w14:textId="77777777" w:rsidR="00597166" w:rsidRPr="00597166" w:rsidRDefault="00597166" w:rsidP="00E83E33">
      <w:pPr>
        <w:suppressAutoHyphens/>
        <w:spacing w:after="0" w:line="240" w:lineRule="auto"/>
        <w:jc w:val="center"/>
        <w:rPr>
          <w:rFonts w:asciiTheme="minorHAnsi" w:eastAsia="Times New Roman" w:hAnsiTheme="minorHAnsi" w:cstheme="minorHAnsi"/>
          <w:b/>
          <w:color w:val="00B050"/>
          <w:sz w:val="24"/>
          <w:szCs w:val="24"/>
          <w:lang w:eastAsia="zh-CN"/>
        </w:rPr>
      </w:pPr>
    </w:p>
    <w:p w14:paraId="78E61311" w14:textId="25523300" w:rsidR="00EB43DE" w:rsidRDefault="00597166" w:rsidP="005247B5">
      <w:pPr>
        <w:jc w:val="center"/>
        <w:rPr>
          <w:rFonts w:asciiTheme="minorHAnsi" w:hAnsiTheme="minorHAnsi" w:cstheme="minorHAnsi"/>
        </w:rPr>
      </w:pPr>
      <w:r>
        <w:rPr>
          <w:rFonts w:asciiTheme="minorHAnsi" w:hAnsiTheme="minorHAnsi" w:cstheme="minorHAnsi"/>
        </w:rPr>
        <w:t xml:space="preserve">Website: </w:t>
      </w:r>
      <w:hyperlink r:id="rId5" w:history="1">
        <w:r w:rsidR="00EB43DE" w:rsidRPr="00763437">
          <w:rPr>
            <w:rStyle w:val="Hyperlink"/>
            <w:rFonts w:asciiTheme="minorHAnsi" w:hAnsiTheme="minorHAnsi" w:cstheme="minorHAnsi"/>
          </w:rPr>
          <w:t>https://walthampc.org.uk</w:t>
        </w:r>
      </w:hyperlink>
    </w:p>
    <w:p w14:paraId="7B15BFE5" w14:textId="468B02A8" w:rsidR="00EB43DE" w:rsidRPr="006172C5" w:rsidRDefault="00EB43DE" w:rsidP="006172C5">
      <w:pPr>
        <w:jc w:val="center"/>
        <w:rPr>
          <w:rFonts w:asciiTheme="minorHAnsi" w:hAnsiTheme="minorHAnsi" w:cstheme="minorHAnsi"/>
          <w:b/>
          <w:bCs/>
          <w:sz w:val="28"/>
          <w:szCs w:val="28"/>
        </w:rPr>
      </w:pPr>
      <w:r w:rsidRPr="00EB43DE">
        <w:rPr>
          <w:rFonts w:asciiTheme="minorHAnsi" w:hAnsiTheme="minorHAnsi" w:cstheme="minorHAnsi"/>
          <w:b/>
          <w:bCs/>
          <w:sz w:val="28"/>
          <w:szCs w:val="28"/>
        </w:rPr>
        <w:t>Report to Council on the Annual Governance Statement</w:t>
      </w:r>
      <w:r w:rsidR="00F82039">
        <w:rPr>
          <w:rFonts w:asciiTheme="minorHAnsi" w:hAnsiTheme="minorHAnsi" w:cstheme="minorHAnsi"/>
          <w:b/>
          <w:bCs/>
          <w:sz w:val="28"/>
          <w:szCs w:val="28"/>
        </w:rPr>
        <w:t xml:space="preserve"> for 2020-2021</w:t>
      </w:r>
    </w:p>
    <w:p w14:paraId="75A4683F" w14:textId="3F2B29D8" w:rsidR="00EB43DE" w:rsidRDefault="00EB43DE" w:rsidP="00EE0FDA">
      <w:pPr>
        <w:spacing w:after="0"/>
        <w:jc w:val="both"/>
        <w:rPr>
          <w:rFonts w:asciiTheme="minorHAnsi" w:hAnsiTheme="minorHAnsi" w:cstheme="minorHAnsi"/>
        </w:rPr>
      </w:pPr>
      <w:r w:rsidRPr="00EB43DE">
        <w:rPr>
          <w:rFonts w:asciiTheme="minorHAnsi" w:hAnsiTheme="minorHAnsi" w:cstheme="minorHAnsi"/>
        </w:rPr>
        <w:t>Members of the Parish Council are required</w:t>
      </w:r>
      <w:r>
        <w:rPr>
          <w:rFonts w:asciiTheme="minorHAnsi" w:hAnsiTheme="minorHAnsi" w:cstheme="minorHAnsi"/>
        </w:rPr>
        <w:t xml:space="preserve"> to ensure that there is a sound system of internal control including preparation of accounting statements and to confirm conformity with nine </w:t>
      </w:r>
      <w:r w:rsidR="00B60C22">
        <w:rPr>
          <w:rFonts w:asciiTheme="minorHAnsi" w:hAnsiTheme="minorHAnsi" w:cstheme="minorHAnsi"/>
        </w:rPr>
        <w:t>key areas. Each of the areas need to be agreed in open meeting and the following is the Clerk/RFO’s explanation of conformity.</w:t>
      </w:r>
    </w:p>
    <w:p w14:paraId="75F110F1" w14:textId="77777777" w:rsidR="004B0F40" w:rsidRDefault="004B0F40" w:rsidP="00EE0FDA">
      <w:pPr>
        <w:spacing w:after="0"/>
        <w:jc w:val="both"/>
        <w:rPr>
          <w:rFonts w:asciiTheme="minorHAnsi" w:hAnsiTheme="minorHAnsi" w:cstheme="minorHAnsi"/>
        </w:rPr>
      </w:pPr>
    </w:p>
    <w:p w14:paraId="303E8537" w14:textId="18DE5651" w:rsidR="00B60C22" w:rsidRPr="00B60C22" w:rsidRDefault="00B60C22" w:rsidP="00EE0FDA">
      <w:pPr>
        <w:pStyle w:val="ListParagraph"/>
        <w:numPr>
          <w:ilvl w:val="0"/>
          <w:numId w:val="1"/>
        </w:numPr>
        <w:spacing w:after="0"/>
        <w:jc w:val="both"/>
        <w:rPr>
          <w:rFonts w:asciiTheme="minorHAnsi" w:hAnsiTheme="minorHAnsi" w:cstheme="minorHAnsi"/>
          <w:b/>
          <w:bCs/>
        </w:rPr>
      </w:pPr>
      <w:r w:rsidRPr="00B60C22">
        <w:rPr>
          <w:rFonts w:asciiTheme="minorHAnsi" w:hAnsiTheme="minorHAnsi" w:cstheme="minorHAnsi"/>
          <w:b/>
          <w:bCs/>
        </w:rPr>
        <w:t>Effective Financial Management</w:t>
      </w:r>
      <w:r>
        <w:rPr>
          <w:rFonts w:asciiTheme="minorHAnsi" w:hAnsiTheme="minorHAnsi" w:cstheme="minorHAnsi"/>
          <w:b/>
          <w:bCs/>
        </w:rPr>
        <w:t xml:space="preserve">. </w:t>
      </w:r>
      <w:r>
        <w:rPr>
          <w:rFonts w:asciiTheme="minorHAnsi" w:hAnsiTheme="minorHAnsi" w:cstheme="minorHAnsi"/>
        </w:rPr>
        <w:t xml:space="preserve">Introduction of the </w:t>
      </w:r>
      <w:proofErr w:type="spellStart"/>
      <w:r w:rsidR="00F82039">
        <w:rPr>
          <w:rFonts w:asciiTheme="minorHAnsi" w:hAnsiTheme="minorHAnsi" w:cstheme="minorHAnsi"/>
        </w:rPr>
        <w:t>Jiosoft</w:t>
      </w:r>
      <w:proofErr w:type="spellEnd"/>
      <w:r w:rsidR="00F82039">
        <w:rPr>
          <w:rFonts w:asciiTheme="minorHAnsi" w:hAnsiTheme="minorHAnsi" w:cstheme="minorHAnsi"/>
        </w:rPr>
        <w:t xml:space="preserve"> Money Manager</w:t>
      </w:r>
      <w:r>
        <w:rPr>
          <w:rFonts w:asciiTheme="minorHAnsi" w:hAnsiTheme="minorHAnsi" w:cstheme="minorHAnsi"/>
        </w:rPr>
        <w:t xml:space="preserve"> accounting system has resulted in a clear audit trail from each financial transaction through to the final Statement of Accounts.</w:t>
      </w:r>
    </w:p>
    <w:p w14:paraId="7BA1F9E2" w14:textId="499F282B" w:rsidR="00B60C22" w:rsidRPr="00AF1561" w:rsidRDefault="00AF1561"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Adequate system of Internal Control. </w:t>
      </w:r>
      <w:r w:rsidRPr="00AF1561">
        <w:rPr>
          <w:rFonts w:asciiTheme="minorHAnsi" w:hAnsiTheme="minorHAnsi" w:cstheme="minorHAnsi"/>
        </w:rPr>
        <w:t>Payments are authorised by two</w:t>
      </w:r>
      <w:r>
        <w:rPr>
          <w:rFonts w:asciiTheme="minorHAnsi" w:hAnsiTheme="minorHAnsi" w:cstheme="minorHAnsi"/>
          <w:b/>
          <w:bCs/>
        </w:rPr>
        <w:t xml:space="preserve"> </w:t>
      </w:r>
      <w:r w:rsidRPr="00AF1561">
        <w:rPr>
          <w:rFonts w:asciiTheme="minorHAnsi" w:hAnsiTheme="minorHAnsi" w:cstheme="minorHAnsi"/>
        </w:rPr>
        <w:t xml:space="preserve">Council Members </w:t>
      </w:r>
      <w:r>
        <w:rPr>
          <w:rFonts w:asciiTheme="minorHAnsi" w:hAnsiTheme="minorHAnsi" w:cstheme="minorHAnsi"/>
        </w:rPr>
        <w:t>on the basis of a payments schedule produced by t</w:t>
      </w:r>
      <w:r w:rsidRPr="00AF1561">
        <w:rPr>
          <w:rFonts w:asciiTheme="minorHAnsi" w:hAnsiTheme="minorHAnsi" w:cstheme="minorHAnsi"/>
        </w:rPr>
        <w:t>he RFO</w:t>
      </w:r>
      <w:r>
        <w:rPr>
          <w:rFonts w:asciiTheme="minorHAnsi" w:hAnsiTheme="minorHAnsi" w:cstheme="minorHAnsi"/>
        </w:rPr>
        <w:t xml:space="preserve">. </w:t>
      </w:r>
      <w:r w:rsidR="009A7E26">
        <w:rPr>
          <w:rFonts w:asciiTheme="minorHAnsi" w:hAnsiTheme="minorHAnsi" w:cstheme="minorHAnsi"/>
        </w:rPr>
        <w:t xml:space="preserve">The move </w:t>
      </w:r>
      <w:r w:rsidR="00B677D1">
        <w:rPr>
          <w:rFonts w:asciiTheme="minorHAnsi" w:hAnsiTheme="minorHAnsi" w:cstheme="minorHAnsi"/>
        </w:rPr>
        <w:t>from Lloyds to Unity Trust on the 14</w:t>
      </w:r>
      <w:r w:rsidR="00B677D1" w:rsidRPr="00B677D1">
        <w:rPr>
          <w:rFonts w:asciiTheme="minorHAnsi" w:hAnsiTheme="minorHAnsi" w:cstheme="minorHAnsi"/>
          <w:vertAlign w:val="superscript"/>
        </w:rPr>
        <w:t>th</w:t>
      </w:r>
      <w:r w:rsidR="00B677D1">
        <w:rPr>
          <w:rFonts w:asciiTheme="minorHAnsi" w:hAnsiTheme="minorHAnsi" w:cstheme="minorHAnsi"/>
        </w:rPr>
        <w:t xml:space="preserve"> of April enabled online payments and requiring email confirmation from the two signatories. </w:t>
      </w:r>
      <w:r>
        <w:rPr>
          <w:rFonts w:asciiTheme="minorHAnsi" w:hAnsiTheme="minorHAnsi" w:cstheme="minorHAnsi"/>
        </w:rPr>
        <w:t>A year</w:t>
      </w:r>
      <w:r w:rsidR="00EE0FDA">
        <w:rPr>
          <w:rFonts w:asciiTheme="minorHAnsi" w:hAnsiTheme="minorHAnsi" w:cstheme="minorHAnsi"/>
        </w:rPr>
        <w:t>-</w:t>
      </w:r>
      <w:r>
        <w:rPr>
          <w:rFonts w:asciiTheme="minorHAnsi" w:hAnsiTheme="minorHAnsi" w:cstheme="minorHAnsi"/>
        </w:rPr>
        <w:t>to</w:t>
      </w:r>
      <w:r w:rsidR="00EE0FDA">
        <w:rPr>
          <w:rFonts w:asciiTheme="minorHAnsi" w:hAnsiTheme="minorHAnsi" w:cstheme="minorHAnsi"/>
        </w:rPr>
        <w:t>-</w:t>
      </w:r>
      <w:r>
        <w:rPr>
          <w:rFonts w:asciiTheme="minorHAnsi" w:hAnsiTheme="minorHAnsi" w:cstheme="minorHAnsi"/>
        </w:rPr>
        <w:t>date summary of receipts</w:t>
      </w:r>
      <w:r w:rsidR="00EE0FDA">
        <w:rPr>
          <w:rFonts w:asciiTheme="minorHAnsi" w:hAnsiTheme="minorHAnsi" w:cstheme="minorHAnsi"/>
        </w:rPr>
        <w:t>,</w:t>
      </w:r>
      <w:r>
        <w:rPr>
          <w:rFonts w:asciiTheme="minorHAnsi" w:hAnsiTheme="minorHAnsi" w:cstheme="minorHAnsi"/>
        </w:rPr>
        <w:t xml:space="preserve"> payments and bank balances is an agenda item for each meeting and any </w:t>
      </w:r>
      <w:r w:rsidR="00B677D1">
        <w:rPr>
          <w:rFonts w:asciiTheme="minorHAnsi" w:hAnsiTheme="minorHAnsi" w:cstheme="minorHAnsi"/>
        </w:rPr>
        <w:t xml:space="preserve">comments or </w:t>
      </w:r>
      <w:r>
        <w:rPr>
          <w:rFonts w:asciiTheme="minorHAnsi" w:hAnsiTheme="minorHAnsi" w:cstheme="minorHAnsi"/>
        </w:rPr>
        <w:t xml:space="preserve">resolutions </w:t>
      </w:r>
      <w:r w:rsidR="00B677D1">
        <w:rPr>
          <w:rFonts w:asciiTheme="minorHAnsi" w:hAnsiTheme="minorHAnsi" w:cstheme="minorHAnsi"/>
        </w:rPr>
        <w:t xml:space="preserve">are </w:t>
      </w:r>
      <w:proofErr w:type="spellStart"/>
      <w:r>
        <w:rPr>
          <w:rFonts w:asciiTheme="minorHAnsi" w:hAnsiTheme="minorHAnsi" w:cstheme="minorHAnsi"/>
        </w:rPr>
        <w:t>minuted</w:t>
      </w:r>
      <w:proofErr w:type="spellEnd"/>
      <w:r>
        <w:rPr>
          <w:rFonts w:asciiTheme="minorHAnsi" w:hAnsiTheme="minorHAnsi" w:cstheme="minorHAnsi"/>
        </w:rPr>
        <w:t>.</w:t>
      </w:r>
    </w:p>
    <w:p w14:paraId="1C2AED6B" w14:textId="176C2DD3" w:rsidR="006172C5" w:rsidRPr="006172C5" w:rsidRDefault="00AF1561"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Compliance with Proper Practice.</w:t>
      </w:r>
      <w:r w:rsidR="006172C5">
        <w:rPr>
          <w:rFonts w:asciiTheme="minorHAnsi" w:hAnsiTheme="minorHAnsi" w:cstheme="minorHAnsi"/>
          <w:b/>
          <w:bCs/>
        </w:rPr>
        <w:t xml:space="preserve"> </w:t>
      </w:r>
      <w:r w:rsidR="006172C5" w:rsidRPr="006172C5">
        <w:rPr>
          <w:rFonts w:asciiTheme="minorHAnsi" w:hAnsiTheme="minorHAnsi" w:cstheme="minorHAnsi"/>
        </w:rPr>
        <w:t xml:space="preserve">Use of the </w:t>
      </w:r>
      <w:proofErr w:type="spellStart"/>
      <w:r w:rsidR="00F82039">
        <w:rPr>
          <w:rFonts w:asciiTheme="minorHAnsi" w:hAnsiTheme="minorHAnsi" w:cstheme="minorHAnsi"/>
        </w:rPr>
        <w:t>Jiosoft</w:t>
      </w:r>
      <w:proofErr w:type="spellEnd"/>
      <w:r w:rsidR="006172C5" w:rsidRPr="006172C5">
        <w:rPr>
          <w:rFonts w:asciiTheme="minorHAnsi" w:hAnsiTheme="minorHAnsi" w:cstheme="minorHAnsi"/>
        </w:rPr>
        <w:t xml:space="preserve"> accounting system ensures adherence</w:t>
      </w:r>
      <w:r w:rsidR="006172C5">
        <w:rPr>
          <w:rFonts w:asciiTheme="minorHAnsi" w:hAnsiTheme="minorHAnsi" w:cstheme="minorHAnsi"/>
        </w:rPr>
        <w:t xml:space="preserve"> to the Accounts and Audit Regulations. Adoption of the General Power of Competence allows some flexibility while conforming to proper practice.</w:t>
      </w:r>
    </w:p>
    <w:p w14:paraId="7F7364ED" w14:textId="63A122C2" w:rsidR="00AF1561" w:rsidRPr="00BE7CD9" w:rsidRDefault="006172C5"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The Exercise of Electors Rights.</w:t>
      </w:r>
      <w:r w:rsidR="00BE7CD9">
        <w:rPr>
          <w:rFonts w:asciiTheme="minorHAnsi" w:hAnsiTheme="minorHAnsi" w:cstheme="minorHAnsi"/>
          <w:b/>
          <w:bCs/>
        </w:rPr>
        <w:t xml:space="preserve"> </w:t>
      </w:r>
      <w:r w:rsidR="00BE7CD9" w:rsidRPr="00BE7CD9">
        <w:rPr>
          <w:rFonts w:asciiTheme="minorHAnsi" w:hAnsiTheme="minorHAnsi" w:cstheme="minorHAnsi"/>
        </w:rPr>
        <w:t>A Notice of</w:t>
      </w:r>
      <w:r w:rsidR="00BE7CD9">
        <w:rPr>
          <w:rFonts w:asciiTheme="minorHAnsi" w:hAnsiTheme="minorHAnsi" w:cstheme="minorHAnsi"/>
          <w:b/>
          <w:bCs/>
        </w:rPr>
        <w:t xml:space="preserve"> </w:t>
      </w:r>
      <w:r w:rsidR="00BE7CD9" w:rsidRPr="00BE7CD9">
        <w:rPr>
          <w:rFonts w:asciiTheme="minorHAnsi" w:hAnsiTheme="minorHAnsi" w:cstheme="minorHAnsi"/>
        </w:rPr>
        <w:t>Public Rights</w:t>
      </w:r>
      <w:r w:rsidR="00BE7CD9">
        <w:rPr>
          <w:rFonts w:asciiTheme="minorHAnsi" w:hAnsiTheme="minorHAnsi" w:cstheme="minorHAnsi"/>
        </w:rPr>
        <w:t xml:space="preserve"> was published on </w:t>
      </w:r>
      <w:r w:rsidR="009A7E26">
        <w:rPr>
          <w:rFonts w:asciiTheme="minorHAnsi" w:hAnsiTheme="minorHAnsi" w:cstheme="minorHAnsi"/>
        </w:rPr>
        <w:t>17</w:t>
      </w:r>
      <w:r w:rsidR="00BE7CD9" w:rsidRPr="00BE7CD9">
        <w:rPr>
          <w:rFonts w:asciiTheme="minorHAnsi" w:hAnsiTheme="minorHAnsi" w:cstheme="minorHAnsi"/>
          <w:vertAlign w:val="superscript"/>
        </w:rPr>
        <w:t>th</w:t>
      </w:r>
      <w:r w:rsidR="00BE7CD9">
        <w:rPr>
          <w:rFonts w:asciiTheme="minorHAnsi" w:hAnsiTheme="minorHAnsi" w:cstheme="minorHAnsi"/>
        </w:rPr>
        <w:t xml:space="preserve"> Ju</w:t>
      </w:r>
      <w:r w:rsidR="009A7E26">
        <w:rPr>
          <w:rFonts w:asciiTheme="minorHAnsi" w:hAnsiTheme="minorHAnsi" w:cstheme="minorHAnsi"/>
        </w:rPr>
        <w:t>ly</w:t>
      </w:r>
      <w:r w:rsidR="00BE7CD9">
        <w:rPr>
          <w:rFonts w:asciiTheme="minorHAnsi" w:hAnsiTheme="minorHAnsi" w:cstheme="minorHAnsi"/>
        </w:rPr>
        <w:t xml:space="preserve"> 20</w:t>
      </w:r>
      <w:r w:rsidR="009A7E26">
        <w:rPr>
          <w:rFonts w:asciiTheme="minorHAnsi" w:hAnsiTheme="minorHAnsi" w:cstheme="minorHAnsi"/>
        </w:rPr>
        <w:t>20</w:t>
      </w:r>
      <w:r w:rsidR="00BE7CD9">
        <w:rPr>
          <w:rFonts w:asciiTheme="minorHAnsi" w:hAnsiTheme="minorHAnsi" w:cstheme="minorHAnsi"/>
        </w:rPr>
        <w:t xml:space="preserve"> and a period of inspection arranged between 2</w:t>
      </w:r>
      <w:r w:rsidR="009A7E26">
        <w:rPr>
          <w:rFonts w:asciiTheme="minorHAnsi" w:hAnsiTheme="minorHAnsi" w:cstheme="minorHAnsi"/>
        </w:rPr>
        <w:t>0</w:t>
      </w:r>
      <w:r w:rsidR="00BE7CD9" w:rsidRPr="00BE7CD9">
        <w:rPr>
          <w:rFonts w:asciiTheme="minorHAnsi" w:hAnsiTheme="minorHAnsi" w:cstheme="minorHAnsi"/>
          <w:vertAlign w:val="superscript"/>
        </w:rPr>
        <w:t>th</w:t>
      </w:r>
      <w:r w:rsidR="00BE7CD9">
        <w:rPr>
          <w:rFonts w:asciiTheme="minorHAnsi" w:hAnsiTheme="minorHAnsi" w:cstheme="minorHAnsi"/>
        </w:rPr>
        <w:t xml:space="preserve"> Ju</w:t>
      </w:r>
      <w:r w:rsidR="009A7E26">
        <w:rPr>
          <w:rFonts w:asciiTheme="minorHAnsi" w:hAnsiTheme="minorHAnsi" w:cstheme="minorHAnsi"/>
        </w:rPr>
        <w:t>ly</w:t>
      </w:r>
      <w:r w:rsidR="00BE7CD9">
        <w:rPr>
          <w:rFonts w:asciiTheme="minorHAnsi" w:hAnsiTheme="minorHAnsi" w:cstheme="minorHAnsi"/>
        </w:rPr>
        <w:t xml:space="preserve"> and 2</w:t>
      </w:r>
      <w:r w:rsidR="009A7E26">
        <w:rPr>
          <w:rFonts w:asciiTheme="minorHAnsi" w:hAnsiTheme="minorHAnsi" w:cstheme="minorHAnsi"/>
          <w:vertAlign w:val="superscript"/>
        </w:rPr>
        <w:t>9th</w:t>
      </w:r>
      <w:r w:rsidR="00BE7CD9">
        <w:rPr>
          <w:rFonts w:asciiTheme="minorHAnsi" w:hAnsiTheme="minorHAnsi" w:cstheme="minorHAnsi"/>
        </w:rPr>
        <w:t xml:space="preserve"> August. No applications for inspection were received.</w:t>
      </w:r>
    </w:p>
    <w:p w14:paraId="3F31E0BA" w14:textId="389325BF" w:rsidR="00BE7CD9" w:rsidRPr="00D93F75" w:rsidRDefault="00D93F75"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Assessment of Risks. </w:t>
      </w:r>
      <w:r>
        <w:rPr>
          <w:rFonts w:asciiTheme="minorHAnsi" w:hAnsiTheme="minorHAnsi" w:cstheme="minorHAnsi"/>
        </w:rPr>
        <w:t xml:space="preserve">A Risk Management Policy was adopted by Council on </w:t>
      </w:r>
      <w:r w:rsidR="00822BE1">
        <w:rPr>
          <w:rFonts w:asciiTheme="minorHAnsi" w:hAnsiTheme="minorHAnsi" w:cstheme="minorHAnsi"/>
        </w:rPr>
        <w:t>the 30</w:t>
      </w:r>
      <w:r w:rsidR="00822BE1" w:rsidRPr="00822BE1">
        <w:rPr>
          <w:rFonts w:asciiTheme="minorHAnsi" w:hAnsiTheme="minorHAnsi" w:cstheme="minorHAnsi"/>
          <w:vertAlign w:val="superscript"/>
        </w:rPr>
        <w:t>th</w:t>
      </w:r>
      <w:r w:rsidR="00822BE1">
        <w:rPr>
          <w:rFonts w:asciiTheme="minorHAnsi" w:hAnsiTheme="minorHAnsi" w:cstheme="minorHAnsi"/>
        </w:rPr>
        <w:t xml:space="preserve"> of July 2019</w:t>
      </w:r>
      <w:r>
        <w:rPr>
          <w:rFonts w:asciiTheme="minorHAnsi" w:hAnsiTheme="minorHAnsi" w:cstheme="minorHAnsi"/>
        </w:rPr>
        <w:t>, published on the website, and is used by the RFO as a monitoring tool. A copy has been shared with the council’s insurers.</w:t>
      </w:r>
      <w:r w:rsidR="00EE0FDA">
        <w:rPr>
          <w:rFonts w:asciiTheme="minorHAnsi" w:hAnsiTheme="minorHAnsi" w:cstheme="minorHAnsi"/>
        </w:rPr>
        <w:t xml:space="preserve"> No changes in risk have been identified which would require a review.</w:t>
      </w:r>
    </w:p>
    <w:p w14:paraId="4A293D96" w14:textId="62BC8ADA" w:rsidR="00D93F75" w:rsidRPr="001E1C1D" w:rsidRDefault="00D93F75"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Effective system </w:t>
      </w:r>
      <w:r w:rsidR="00EE0FDA">
        <w:rPr>
          <w:rFonts w:asciiTheme="minorHAnsi" w:hAnsiTheme="minorHAnsi" w:cstheme="minorHAnsi"/>
          <w:b/>
          <w:bCs/>
        </w:rPr>
        <w:t>o</w:t>
      </w:r>
      <w:r>
        <w:rPr>
          <w:rFonts w:asciiTheme="minorHAnsi" w:hAnsiTheme="minorHAnsi" w:cstheme="minorHAnsi"/>
          <w:b/>
          <w:bCs/>
        </w:rPr>
        <w:t>f In</w:t>
      </w:r>
      <w:r w:rsidR="00EE0FDA">
        <w:rPr>
          <w:rFonts w:asciiTheme="minorHAnsi" w:hAnsiTheme="minorHAnsi" w:cstheme="minorHAnsi"/>
          <w:b/>
          <w:bCs/>
        </w:rPr>
        <w:t>formal</w:t>
      </w:r>
      <w:r>
        <w:rPr>
          <w:rFonts w:asciiTheme="minorHAnsi" w:hAnsiTheme="minorHAnsi" w:cstheme="minorHAnsi"/>
          <w:b/>
          <w:bCs/>
        </w:rPr>
        <w:t xml:space="preserve"> Audit. </w:t>
      </w:r>
      <w:r>
        <w:rPr>
          <w:rFonts w:asciiTheme="minorHAnsi" w:hAnsiTheme="minorHAnsi" w:cstheme="minorHAnsi"/>
        </w:rPr>
        <w:t>In addition to</w:t>
      </w:r>
      <w:r w:rsidR="00403D2C">
        <w:rPr>
          <w:rFonts w:asciiTheme="minorHAnsi" w:hAnsiTheme="minorHAnsi" w:cstheme="minorHAnsi"/>
        </w:rPr>
        <w:t xml:space="preserve"> regular reporting at meetings </w:t>
      </w:r>
      <w:r w:rsidR="001E1C1D">
        <w:rPr>
          <w:rFonts w:asciiTheme="minorHAnsi" w:hAnsiTheme="minorHAnsi" w:cstheme="minorHAnsi"/>
        </w:rPr>
        <w:t>WPC has arranged for one nominated councillor to give an objective view on whether its internal controls meet the needs of the Authority.</w:t>
      </w:r>
    </w:p>
    <w:p w14:paraId="68B09AFA" w14:textId="2CC67CA4" w:rsidR="001E1C1D" w:rsidRPr="00A578B0" w:rsidRDefault="001E1C1D"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Internal and External Audit. </w:t>
      </w:r>
      <w:r w:rsidRPr="001E1C1D">
        <w:rPr>
          <w:rFonts w:asciiTheme="minorHAnsi" w:hAnsiTheme="minorHAnsi" w:cstheme="minorHAnsi"/>
        </w:rPr>
        <w:t>WPC</w:t>
      </w:r>
      <w:r>
        <w:rPr>
          <w:rFonts w:asciiTheme="minorHAnsi" w:hAnsiTheme="minorHAnsi" w:cstheme="minorHAnsi"/>
        </w:rPr>
        <w:t xml:space="preserve"> exempted itself from External Audit</w:t>
      </w:r>
      <w:r w:rsidR="00A578B0">
        <w:rPr>
          <w:rFonts w:asciiTheme="minorHAnsi" w:hAnsiTheme="minorHAnsi" w:cstheme="minorHAnsi"/>
        </w:rPr>
        <w:t xml:space="preserve"> as its gross annual receipts and payments were well below the statutory ceiling of £25,000. No matters were raised by the independent Internal Auditor.</w:t>
      </w:r>
    </w:p>
    <w:p w14:paraId="55A86363" w14:textId="26F589AF" w:rsidR="00A578B0" w:rsidRPr="004B0F40" w:rsidRDefault="00A578B0" w:rsidP="00EE0FDA">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Financial Impact. </w:t>
      </w:r>
      <w:r w:rsidRPr="00A578B0">
        <w:rPr>
          <w:rFonts w:asciiTheme="minorHAnsi" w:hAnsiTheme="minorHAnsi" w:cstheme="minorHAnsi"/>
        </w:rPr>
        <w:t>WPC follows the Transparency Code in publishing</w:t>
      </w:r>
      <w:r>
        <w:rPr>
          <w:rFonts w:asciiTheme="minorHAnsi" w:hAnsiTheme="minorHAnsi" w:cstheme="minorHAnsi"/>
        </w:rPr>
        <w:t xml:space="preserve"> </w:t>
      </w:r>
      <w:r w:rsidR="004B0F40">
        <w:rPr>
          <w:rFonts w:asciiTheme="minorHAnsi" w:hAnsiTheme="minorHAnsi" w:cstheme="minorHAnsi"/>
        </w:rPr>
        <w:t>business activity</w:t>
      </w:r>
      <w:r>
        <w:rPr>
          <w:rFonts w:asciiTheme="minorHAnsi" w:hAnsiTheme="minorHAnsi" w:cstheme="minorHAnsi"/>
        </w:rPr>
        <w:t xml:space="preserve"> in its minutes and also it</w:t>
      </w:r>
      <w:r w:rsidR="004B0F40">
        <w:rPr>
          <w:rFonts w:asciiTheme="minorHAnsi" w:hAnsiTheme="minorHAnsi" w:cstheme="minorHAnsi"/>
        </w:rPr>
        <w:t>s</w:t>
      </w:r>
      <w:r>
        <w:rPr>
          <w:rFonts w:asciiTheme="minorHAnsi" w:hAnsiTheme="minorHAnsi" w:cstheme="minorHAnsi"/>
        </w:rPr>
        <w:t xml:space="preserve"> Financial Regulations</w:t>
      </w:r>
      <w:r w:rsidR="004B0F40">
        <w:rPr>
          <w:rFonts w:asciiTheme="minorHAnsi" w:hAnsiTheme="minorHAnsi" w:cstheme="minorHAnsi"/>
        </w:rPr>
        <w:t xml:space="preserve"> and Statements on the council website.</w:t>
      </w:r>
    </w:p>
    <w:p w14:paraId="5F93B87D" w14:textId="051C35F0" w:rsidR="004B0F40" w:rsidRPr="004E35E0" w:rsidRDefault="004B0F40" w:rsidP="004B0F40">
      <w:pPr>
        <w:pStyle w:val="ListParagraph"/>
        <w:numPr>
          <w:ilvl w:val="0"/>
          <w:numId w:val="1"/>
        </w:numPr>
        <w:spacing w:after="0"/>
        <w:jc w:val="both"/>
        <w:rPr>
          <w:rFonts w:asciiTheme="minorHAnsi" w:hAnsiTheme="minorHAnsi" w:cstheme="minorHAnsi"/>
          <w:b/>
          <w:bCs/>
        </w:rPr>
      </w:pPr>
      <w:r>
        <w:rPr>
          <w:rFonts w:asciiTheme="minorHAnsi" w:hAnsiTheme="minorHAnsi" w:cstheme="minorHAnsi"/>
          <w:b/>
          <w:bCs/>
        </w:rPr>
        <w:t xml:space="preserve">Sole Management Trustee. </w:t>
      </w:r>
      <w:r>
        <w:rPr>
          <w:rFonts w:asciiTheme="minorHAnsi" w:hAnsiTheme="minorHAnsi" w:cstheme="minorHAnsi"/>
        </w:rPr>
        <w:t>While WPC is Custodian Trustee for Waltham Park and the Village Hall both are managed as independent Charities under the auspices of the Charity Commission. In this respect this element is not applicable.</w:t>
      </w:r>
    </w:p>
    <w:p w14:paraId="0C944778" w14:textId="0E6C0693" w:rsidR="004B0F40" w:rsidRDefault="004E35E0" w:rsidP="004B0F40">
      <w:pPr>
        <w:spacing w:after="0"/>
        <w:rPr>
          <w:rFonts w:asciiTheme="minorHAnsi" w:hAnsiTheme="minorHAnsi" w:cstheme="minorHAnsi"/>
          <w:b/>
          <w:bCs/>
        </w:rPr>
      </w:pPr>
      <w:r>
        <w:rPr>
          <w:rFonts w:asciiTheme="minorHAnsi" w:hAnsiTheme="minorHAnsi" w:cstheme="minorHAnsi"/>
          <w:b/>
          <w:bCs/>
          <w:noProof/>
        </w:rPr>
        <w:drawing>
          <wp:inline distT="0" distB="0" distL="0" distR="0" wp14:anchorId="7EE86F72" wp14:editId="4D571AC0">
            <wp:extent cx="2438400" cy="504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38400" cy="504825"/>
                    </a:xfrm>
                    <a:prstGeom prst="rect">
                      <a:avLst/>
                    </a:prstGeom>
                    <a:noFill/>
                    <a:ln>
                      <a:noFill/>
                    </a:ln>
                  </pic:spPr>
                </pic:pic>
              </a:graphicData>
            </a:graphic>
          </wp:inline>
        </w:drawing>
      </w:r>
    </w:p>
    <w:p w14:paraId="5783F980" w14:textId="2482733D" w:rsidR="004B0F40" w:rsidRPr="004B0F40" w:rsidRDefault="004B0F40" w:rsidP="004B0F40">
      <w:pPr>
        <w:spacing w:after="0"/>
        <w:rPr>
          <w:rFonts w:asciiTheme="minorHAnsi" w:hAnsiTheme="minorHAnsi" w:cstheme="minorHAnsi"/>
          <w:b/>
          <w:bCs/>
          <w:sz w:val="16"/>
          <w:szCs w:val="16"/>
        </w:rPr>
      </w:pPr>
      <w:r>
        <w:rPr>
          <w:rFonts w:asciiTheme="minorHAnsi" w:hAnsiTheme="minorHAnsi" w:cstheme="minorHAnsi"/>
          <w:b/>
          <w:bCs/>
          <w:sz w:val="16"/>
          <w:szCs w:val="16"/>
        </w:rPr>
        <w:t>WPC/</w:t>
      </w:r>
      <w:proofErr w:type="spellStart"/>
      <w:r>
        <w:rPr>
          <w:rFonts w:asciiTheme="minorHAnsi" w:hAnsiTheme="minorHAnsi" w:cstheme="minorHAnsi"/>
          <w:b/>
          <w:bCs/>
          <w:sz w:val="16"/>
          <w:szCs w:val="16"/>
        </w:rPr>
        <w:t>as</w:t>
      </w:r>
      <w:r w:rsidR="004E35E0">
        <w:rPr>
          <w:rFonts w:asciiTheme="minorHAnsi" w:hAnsiTheme="minorHAnsi" w:cstheme="minorHAnsi"/>
          <w:b/>
          <w:bCs/>
          <w:sz w:val="16"/>
          <w:szCs w:val="16"/>
        </w:rPr>
        <w:t>m</w:t>
      </w:r>
      <w:proofErr w:type="spellEnd"/>
      <w:r>
        <w:rPr>
          <w:rFonts w:asciiTheme="minorHAnsi" w:hAnsiTheme="minorHAnsi" w:cstheme="minorHAnsi"/>
          <w:b/>
          <w:bCs/>
          <w:sz w:val="16"/>
          <w:szCs w:val="16"/>
        </w:rPr>
        <w:t>/0</w:t>
      </w:r>
      <w:r w:rsidR="004E35E0">
        <w:rPr>
          <w:rFonts w:asciiTheme="minorHAnsi" w:hAnsiTheme="minorHAnsi" w:cstheme="minorHAnsi"/>
          <w:b/>
          <w:bCs/>
          <w:sz w:val="16"/>
          <w:szCs w:val="16"/>
        </w:rPr>
        <w:t>6</w:t>
      </w:r>
      <w:r>
        <w:rPr>
          <w:rFonts w:asciiTheme="minorHAnsi" w:hAnsiTheme="minorHAnsi" w:cstheme="minorHAnsi"/>
          <w:b/>
          <w:bCs/>
          <w:sz w:val="16"/>
          <w:szCs w:val="16"/>
        </w:rPr>
        <w:t>:0</w:t>
      </w:r>
      <w:r w:rsidR="004E35E0">
        <w:rPr>
          <w:rFonts w:asciiTheme="minorHAnsi" w:hAnsiTheme="minorHAnsi" w:cstheme="minorHAnsi"/>
          <w:b/>
          <w:bCs/>
          <w:sz w:val="16"/>
          <w:szCs w:val="16"/>
        </w:rPr>
        <w:t>4</w:t>
      </w:r>
      <w:r>
        <w:rPr>
          <w:rFonts w:asciiTheme="minorHAnsi" w:hAnsiTheme="minorHAnsi" w:cstheme="minorHAnsi"/>
          <w:b/>
          <w:bCs/>
          <w:sz w:val="16"/>
          <w:szCs w:val="16"/>
        </w:rPr>
        <w:t>:202</w:t>
      </w:r>
      <w:r w:rsidR="00EE0FDA">
        <w:rPr>
          <w:rFonts w:asciiTheme="minorHAnsi" w:hAnsiTheme="minorHAnsi" w:cstheme="minorHAnsi"/>
          <w:b/>
          <w:bCs/>
          <w:sz w:val="16"/>
          <w:szCs w:val="16"/>
        </w:rPr>
        <w:t>1</w:t>
      </w:r>
    </w:p>
    <w:p w14:paraId="637DB900" w14:textId="77777777" w:rsidR="00EB43DE" w:rsidRPr="00EB43DE" w:rsidRDefault="00EB43DE" w:rsidP="00EB43DE">
      <w:pPr>
        <w:rPr>
          <w:rFonts w:asciiTheme="minorHAnsi" w:hAnsiTheme="minorHAnsi" w:cstheme="minorHAnsi"/>
          <w:b/>
          <w:bCs/>
          <w:sz w:val="28"/>
          <w:szCs w:val="28"/>
        </w:rPr>
      </w:pPr>
    </w:p>
    <w:sectPr w:rsidR="00EB43DE" w:rsidRPr="00EB43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5638"/>
    <w:multiLevelType w:val="hybridMultilevel"/>
    <w:tmpl w:val="DA3CE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1E1C1D"/>
    <w:rsid w:val="00403D2C"/>
    <w:rsid w:val="004B0F40"/>
    <w:rsid w:val="004E35E0"/>
    <w:rsid w:val="005247B5"/>
    <w:rsid w:val="00597166"/>
    <w:rsid w:val="006172C5"/>
    <w:rsid w:val="00822BE1"/>
    <w:rsid w:val="00965D9C"/>
    <w:rsid w:val="009A7E26"/>
    <w:rsid w:val="00A578B0"/>
    <w:rsid w:val="00AB38A0"/>
    <w:rsid w:val="00AF1561"/>
    <w:rsid w:val="00B60C22"/>
    <w:rsid w:val="00B677D1"/>
    <w:rsid w:val="00BE7CD9"/>
    <w:rsid w:val="00D93F75"/>
    <w:rsid w:val="00DB168B"/>
    <w:rsid w:val="00E8215C"/>
    <w:rsid w:val="00E83E33"/>
    <w:rsid w:val="00EB43DE"/>
    <w:rsid w:val="00EE0FDA"/>
    <w:rsid w:val="00F16796"/>
    <w:rsid w:val="00F820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43DE"/>
    <w:rPr>
      <w:color w:val="0000FF" w:themeColor="hyperlink"/>
      <w:u w:val="single"/>
    </w:rPr>
  </w:style>
  <w:style w:type="character" w:styleId="UnresolvedMention">
    <w:name w:val="Unresolved Mention"/>
    <w:basedOn w:val="DefaultParagraphFont"/>
    <w:uiPriority w:val="99"/>
    <w:semiHidden/>
    <w:unhideWhenUsed/>
    <w:rsid w:val="00EB43DE"/>
    <w:rPr>
      <w:color w:val="605E5C"/>
      <w:shd w:val="clear" w:color="auto" w:fill="E1DFDD"/>
    </w:rPr>
  </w:style>
  <w:style w:type="paragraph" w:styleId="ListParagraph">
    <w:name w:val="List Paragraph"/>
    <w:basedOn w:val="Normal"/>
    <w:uiPriority w:val="34"/>
    <w:qFormat/>
    <w:rsid w:val="00B60C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cp:lastModifiedBy>
  <cp:revision>2</cp:revision>
  <dcterms:created xsi:type="dcterms:W3CDTF">2021-05-06T10:36:00Z</dcterms:created>
  <dcterms:modified xsi:type="dcterms:W3CDTF">2021-05-06T10:36:00Z</dcterms:modified>
</cp:coreProperties>
</file>